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proofErr w:type="gramStart"/>
      <w:r w:rsidR="0034646A" w:rsidRPr="00F131A0">
        <w:rPr>
          <w:rFonts w:ascii="標楷體" w:eastAsia="標楷體" w:hAnsi="標楷體"/>
          <w:lang w:eastAsia="zh-TW"/>
        </w:rPr>
        <w:t>臺</w:t>
      </w:r>
      <w:proofErr w:type="gramEnd"/>
      <w:r w:rsidR="0034646A" w:rsidRPr="00F131A0">
        <w:rPr>
          <w:rFonts w:ascii="標楷體" w:eastAsia="標楷體" w:hAnsi="標楷體"/>
          <w:lang w:eastAsia="zh-TW"/>
        </w:rPr>
        <w:t>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</w:t>
      </w:r>
      <w:proofErr w:type="gramStart"/>
      <w:r w:rsidR="00B362C8" w:rsidRPr="00F131A0">
        <w:rPr>
          <w:rFonts w:ascii="標楷體" w:eastAsia="標楷體" w:hAnsi="標楷體" w:hint="eastAsia"/>
          <w:lang w:eastAsia="zh-TW"/>
        </w:rPr>
        <w:t>象</w:t>
      </w:r>
      <w:proofErr w:type="gramEnd"/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F131A0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打寇島</w:t>
      </w:r>
      <w:proofErr w:type="gramEnd"/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F131A0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F131A0">
        <w:rPr>
          <w:rFonts w:ascii="標楷體" w:eastAsia="標楷體" w:hAnsi="標楷體" w:hint="eastAsia"/>
          <w:lang w:eastAsia="zh-TW"/>
        </w:rPr>
        <w:t>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</w:t>
      </w:r>
      <w:proofErr w:type="gramStart"/>
      <w:r w:rsidRPr="00F131A0">
        <w:rPr>
          <w:rFonts w:ascii="標楷體" w:eastAsia="標楷體" w:hAnsi="標楷體"/>
          <w:lang w:eastAsia="zh-TW"/>
        </w:rPr>
        <w:t>逕</w:t>
      </w:r>
      <w:proofErr w:type="gramEnd"/>
      <w:r w:rsidRPr="00F131A0">
        <w:rPr>
          <w:rFonts w:ascii="標楷體" w:eastAsia="標楷體" w:hAnsi="標楷體"/>
          <w:lang w:eastAsia="zh-TW"/>
        </w:rPr>
        <w:t>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  <w:bookmarkStart w:id="0" w:name="_GoBack"/>
      <w:bookmarkEnd w:id="0"/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BA" w:rsidRDefault="00070CBA">
      <w:r>
        <w:separator/>
      </w:r>
    </w:p>
  </w:endnote>
  <w:endnote w:type="continuationSeparator" w:id="0">
    <w:p w:rsidR="00070CBA" w:rsidRDefault="0007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070CBA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25pt;margin-top:801.25pt;width:80pt;height:12pt;z-index:-251658752;mso-position-horizontal-relative:page;mso-position-vertical-relative:page" filled="f" stroked="f">
          <v:textbox style="mso-next-textbox:#_x0000_s2049"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6A5D6E">
                  <w:rPr>
                    <w:rFonts w:ascii="標楷體" w:eastAsia="標楷體" w:hAnsi="標楷體"/>
                    <w:noProof/>
                    <w:sz w:val="20"/>
                  </w:rPr>
                  <w:t>3</w:t>
                </w:r>
                <w:r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 w:rsidR="0002511D">
                  <w:rPr>
                    <w:rFonts w:ascii="標楷體" w:eastAsia="標楷體" w:hAnsi="標楷體" w:hint="eastAsia"/>
                    <w:sz w:val="20"/>
                    <w:lang w:eastAsia="zh-TW"/>
                  </w:rPr>
                  <w:t>3</w:t>
                </w:r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BA" w:rsidRDefault="00070CBA">
      <w:r>
        <w:separator/>
      </w:r>
    </w:p>
  </w:footnote>
  <w:footnote w:type="continuationSeparator" w:id="0">
    <w:p w:rsidR="00070CBA" w:rsidRDefault="0007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0CB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961C7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10EF9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204</cp:revision>
  <cp:lastPrinted>2018-08-29T03:56:00Z</cp:lastPrinted>
  <dcterms:created xsi:type="dcterms:W3CDTF">2017-02-14T03:29:00Z</dcterms:created>
  <dcterms:modified xsi:type="dcterms:W3CDTF">2020-10-13T01:30:00Z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